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C6BD" w14:textId="7CB0A619" w:rsidR="004F1B72" w:rsidRPr="004F1B72" w:rsidRDefault="00B433E2" w:rsidP="004F1B72">
      <w:pPr>
        <w:jc w:val="center"/>
        <w:rPr>
          <w:rFonts w:ascii="Ink Free" w:hAnsi="Ink Free"/>
          <w:b/>
          <w:bCs/>
          <w:color w:val="002060"/>
          <w:sz w:val="44"/>
          <w:szCs w:val="44"/>
          <w:lang w:val="en-US"/>
        </w:rPr>
      </w:pPr>
      <w:r>
        <w:rPr>
          <w:rFonts w:ascii="Ink Free" w:hAnsi="Ink Free"/>
          <w:b/>
          <w:bCs/>
          <w:color w:val="002060"/>
          <w:sz w:val="44"/>
          <w:szCs w:val="44"/>
          <w:lang w:val="en-US"/>
        </w:rPr>
        <w:t xml:space="preserve">Moving Towards a Fairer Future </w:t>
      </w:r>
    </w:p>
    <w:p w14:paraId="6ADE9FD3" w14:textId="15C3551F" w:rsidR="00B433E2" w:rsidRPr="004F1B72" w:rsidRDefault="00B433E2" w:rsidP="00B433E2">
      <w:pPr>
        <w:jc w:val="center"/>
        <w:rPr>
          <w:rFonts w:ascii="Ink Free" w:hAnsi="Ink Free"/>
          <w:b/>
          <w:bCs/>
          <w:sz w:val="40"/>
          <w:szCs w:val="40"/>
          <w:lang w:val="en-US"/>
        </w:rPr>
      </w:pPr>
      <w:r>
        <w:rPr>
          <w:rFonts w:ascii="Ink Free" w:hAnsi="Ink Free"/>
          <w:b/>
          <w:bCs/>
          <w:sz w:val="40"/>
          <w:szCs w:val="40"/>
          <w:lang w:val="en-US"/>
        </w:rPr>
        <w:t>Moving forwards from the Starting</w:t>
      </w:r>
      <w:r w:rsidRPr="00B433E2">
        <w:rPr>
          <w:rFonts w:ascii="Ink Free" w:hAnsi="Ink Free"/>
          <w:b/>
          <w:bCs/>
          <w:sz w:val="44"/>
          <w:szCs w:val="44"/>
          <w:lang w:val="en-US"/>
        </w:rPr>
        <w:t>2</w:t>
      </w:r>
      <w:r>
        <w:rPr>
          <w:rFonts w:ascii="Ink Free" w:hAnsi="Ink Free"/>
          <w:b/>
          <w:bCs/>
          <w:sz w:val="40"/>
          <w:szCs w:val="40"/>
          <w:lang w:val="en-US"/>
        </w:rPr>
        <w:t>Move project</w:t>
      </w:r>
    </w:p>
    <w:p w14:paraId="1561B703" w14:textId="4B727615" w:rsidR="004F1B72" w:rsidRDefault="00B433E2" w:rsidP="004F1B72">
      <w:pPr>
        <w:rPr>
          <w:lang w:val="en-US"/>
        </w:rPr>
      </w:pPr>
      <w:r w:rsidRPr="00B433E2">
        <w:drawing>
          <wp:anchor distT="0" distB="0" distL="114300" distR="114300" simplePos="0" relativeHeight="251658240" behindDoc="0" locked="0" layoutInCell="1" allowOverlap="1" wp14:anchorId="2CE27D0F" wp14:editId="73687A2D">
            <wp:simplePos x="0" y="0"/>
            <wp:positionH relativeFrom="margin">
              <wp:posOffset>979811</wp:posOffset>
            </wp:positionH>
            <wp:positionV relativeFrom="paragraph">
              <wp:posOffset>18993</wp:posOffset>
            </wp:positionV>
            <wp:extent cx="3662045" cy="2661285"/>
            <wp:effectExtent l="0" t="0" r="0" b="5715"/>
            <wp:wrapSquare wrapText="bothSides"/>
            <wp:docPr id="1026" name="Picture 2" descr="Image preview">
              <a:extLst xmlns:a="http://schemas.openxmlformats.org/drawingml/2006/main">
                <a:ext uri="{FF2B5EF4-FFF2-40B4-BE49-F238E27FC236}">
                  <a16:creationId xmlns:a16="http://schemas.microsoft.com/office/drawing/2014/main" id="{1E8DF599-44B2-5E2B-4474-15628317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preview">
                      <a:extLst>
                        <a:ext uri="{FF2B5EF4-FFF2-40B4-BE49-F238E27FC236}">
                          <a16:creationId xmlns:a16="http://schemas.microsoft.com/office/drawing/2014/main" id="{1E8DF599-44B2-5E2B-4474-15628317D7F5}"/>
                        </a:ext>
                      </a:extLst>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736" t="22545" r="5319" b="13693"/>
                    <a:stretch/>
                  </pic:blipFill>
                  <pic:spPr bwMode="auto">
                    <a:xfrm>
                      <a:off x="0" y="0"/>
                      <a:ext cx="3662045" cy="2661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08CC47" w14:textId="68A8596A" w:rsidR="004F1B72" w:rsidRDefault="004F1B72" w:rsidP="004F1B72">
      <w:pPr>
        <w:rPr>
          <w:lang w:val="en-US"/>
        </w:rPr>
      </w:pPr>
    </w:p>
    <w:p w14:paraId="0B5B6913" w14:textId="6FCE5FCB" w:rsidR="004F1B72" w:rsidRDefault="004F1B72" w:rsidP="004F1B72">
      <w:pPr>
        <w:rPr>
          <w:lang w:val="en-US"/>
        </w:rPr>
      </w:pPr>
    </w:p>
    <w:p w14:paraId="7C131092" w14:textId="550F449F" w:rsidR="004F1B72" w:rsidRDefault="004F1B72" w:rsidP="004F1B72">
      <w:pPr>
        <w:rPr>
          <w:lang w:val="en-US"/>
        </w:rPr>
      </w:pPr>
    </w:p>
    <w:p w14:paraId="13007D10" w14:textId="72120CEA" w:rsidR="004F1B72" w:rsidRDefault="004F1B72" w:rsidP="004F1B72">
      <w:pPr>
        <w:rPr>
          <w:lang w:val="en-US"/>
        </w:rPr>
      </w:pPr>
    </w:p>
    <w:p w14:paraId="38CCCFDC" w14:textId="47565559" w:rsidR="004F1B72" w:rsidRDefault="004F1B72" w:rsidP="004F1B72">
      <w:pPr>
        <w:rPr>
          <w:lang w:val="en-US"/>
        </w:rPr>
      </w:pPr>
    </w:p>
    <w:p w14:paraId="04B612B1" w14:textId="6C44E713" w:rsidR="004F1B72" w:rsidRDefault="004F1B72" w:rsidP="004F1B72">
      <w:pPr>
        <w:rPr>
          <w:lang w:val="en-US"/>
        </w:rPr>
      </w:pPr>
    </w:p>
    <w:p w14:paraId="098015A7" w14:textId="79AF2069" w:rsidR="004F1B72" w:rsidRDefault="004F1B72" w:rsidP="004F1B72">
      <w:pPr>
        <w:rPr>
          <w:lang w:val="en-US"/>
        </w:rPr>
      </w:pPr>
    </w:p>
    <w:p w14:paraId="4E7B54DA" w14:textId="5D351890" w:rsidR="00B433E2" w:rsidRDefault="00B433E2" w:rsidP="004F1B72">
      <w:pPr>
        <w:rPr>
          <w:lang w:val="en-US"/>
        </w:rPr>
      </w:pPr>
    </w:p>
    <w:p w14:paraId="0614964D" w14:textId="61AE5675" w:rsidR="00B433E2" w:rsidRDefault="00B433E2" w:rsidP="00B433E2">
      <w:pPr>
        <w:spacing w:line="360" w:lineRule="auto"/>
        <w:jc w:val="both"/>
        <w:rPr>
          <w:rFonts w:ascii="Calibri" w:hAnsi="Calibri" w:cs="Calibri"/>
          <w:color w:val="000000" w:themeColor="text1"/>
        </w:rPr>
      </w:pPr>
    </w:p>
    <w:p w14:paraId="73DCF90E" w14:textId="5A0ED323" w:rsidR="00B433E2" w:rsidRDefault="00B433E2" w:rsidP="00B433E2">
      <w:pPr>
        <w:spacing w:line="360" w:lineRule="auto"/>
        <w:jc w:val="both"/>
        <w:rPr>
          <w:rFonts w:ascii="Calibri" w:hAnsi="Calibri" w:cs="Calibri"/>
          <w:color w:val="000000" w:themeColor="text1"/>
        </w:rPr>
      </w:pPr>
      <w:r w:rsidRPr="00B433E2">
        <w:rPr>
          <w:rFonts w:ascii="Calibri" w:hAnsi="Calibri" w:cs="Calibri"/>
          <w:color w:val="000000" w:themeColor="text1"/>
        </w:rPr>
        <w:t>Paediatric physiotherapists use their expertise in movement to promote healthy development, and health</w:t>
      </w:r>
      <w:r>
        <w:rPr>
          <w:rFonts w:ascii="Calibri" w:hAnsi="Calibri" w:cs="Calibri"/>
          <w:color w:val="000000" w:themeColor="text1"/>
        </w:rPr>
        <w:t>y</w:t>
      </w:r>
      <w:r w:rsidRPr="00B433E2">
        <w:rPr>
          <w:rFonts w:ascii="Calibri" w:hAnsi="Calibri" w:cs="Calibri"/>
          <w:color w:val="000000" w:themeColor="text1"/>
        </w:rPr>
        <w:t xml:space="preserve"> lifestyles, for children and young people from birth to 19 years.</w:t>
      </w:r>
      <w:r>
        <w:rPr>
          <w:rFonts w:ascii="Calibri" w:hAnsi="Calibri" w:cs="Calibri"/>
          <w:color w:val="000000" w:themeColor="text1"/>
        </w:rPr>
        <w:t xml:space="preserve"> We want to continue to build upon the Starting2Move project to transform our APCP information for all ages into this new format that we’ve started for the early years age group. </w:t>
      </w:r>
    </w:p>
    <w:p w14:paraId="5ED6F385" w14:textId="05C6D9EF" w:rsidR="00B433E2" w:rsidRDefault="00B433E2" w:rsidP="00B433E2">
      <w:pPr>
        <w:spacing w:line="360" w:lineRule="auto"/>
        <w:jc w:val="both"/>
        <w:rPr>
          <w:rFonts w:ascii="Calibri" w:hAnsi="Calibri" w:cs="Calibri"/>
          <w:color w:val="000000" w:themeColor="text1"/>
        </w:rPr>
      </w:pPr>
      <w:r>
        <w:rPr>
          <w:rFonts w:ascii="Calibri" w:hAnsi="Calibri" w:cs="Calibri"/>
          <w:color w:val="000000" w:themeColor="text1"/>
        </w:rPr>
        <w:t xml:space="preserve">In May 2022 I spoke on behalf of APCP at the Chartered Society of Physiotherapy (CSP)’s Annual Representatives Conference. That short speech is included here: </w:t>
      </w:r>
    </w:p>
    <w:p w14:paraId="39118BD1" w14:textId="113E21DD" w:rsidR="00B433E2" w:rsidRPr="00B433E2" w:rsidRDefault="00B433E2" w:rsidP="00B433E2">
      <w:pPr>
        <w:spacing w:line="360" w:lineRule="auto"/>
        <w:jc w:val="both"/>
        <w:rPr>
          <w:rFonts w:ascii="Calibri" w:hAnsi="Calibri" w:cs="Calibri"/>
          <w:i/>
          <w:iCs/>
          <w:color w:val="000000" w:themeColor="text1"/>
        </w:rPr>
      </w:pPr>
      <w:r>
        <w:rPr>
          <w:rFonts w:ascii="Calibri" w:hAnsi="Calibri" w:cs="Calibri"/>
          <w:color w:val="000000" w:themeColor="text1"/>
        </w:rPr>
        <w:t>“</w:t>
      </w:r>
      <w:r w:rsidRPr="00B433E2">
        <w:rPr>
          <w:rFonts w:ascii="Calibri" w:hAnsi="Calibri" w:cs="Calibri"/>
          <w:i/>
          <w:iCs/>
          <w:color w:val="000000" w:themeColor="text1"/>
        </w:rPr>
        <w:t xml:space="preserve">We all know that our early life, </w:t>
      </w:r>
      <w:proofErr w:type="gramStart"/>
      <w:r w:rsidRPr="00B433E2">
        <w:rPr>
          <w:rFonts w:ascii="Calibri" w:hAnsi="Calibri" w:cs="Calibri"/>
          <w:i/>
          <w:iCs/>
          <w:color w:val="000000" w:themeColor="text1"/>
        </w:rPr>
        <w:t>childhood</w:t>
      </w:r>
      <w:proofErr w:type="gramEnd"/>
      <w:r w:rsidRPr="00B433E2">
        <w:rPr>
          <w:rFonts w:ascii="Calibri" w:hAnsi="Calibri" w:cs="Calibri"/>
          <w:i/>
          <w:iCs/>
          <w:color w:val="000000" w:themeColor="text1"/>
        </w:rPr>
        <w:t xml:space="preserve"> and adolescent experiences provide the foundations for who we grow up to be - shaping our behaviour and establishing habits for the future.  </w:t>
      </w:r>
    </w:p>
    <w:p w14:paraId="712D9901" w14:textId="4BAE30BF" w:rsidR="00B433E2" w:rsidRPr="00B433E2" w:rsidRDefault="00B433E2" w:rsidP="00B433E2">
      <w:pPr>
        <w:spacing w:line="360" w:lineRule="auto"/>
        <w:jc w:val="both"/>
        <w:rPr>
          <w:rFonts w:ascii="Calibri" w:hAnsi="Calibri" w:cs="Calibri"/>
          <w:i/>
          <w:iCs/>
          <w:color w:val="000000" w:themeColor="text1"/>
        </w:rPr>
      </w:pPr>
      <w:r w:rsidRPr="00B433E2">
        <w:rPr>
          <w:rFonts w:ascii="Calibri" w:hAnsi="Calibri" w:cs="Calibri"/>
          <w:i/>
          <w:iCs/>
          <w:color w:val="000000" w:themeColor="text1"/>
        </w:rPr>
        <w:t>In these critical stages of lif</w:t>
      </w:r>
      <w:r>
        <w:rPr>
          <w:rFonts w:ascii="Calibri" w:hAnsi="Calibri" w:cs="Calibri"/>
          <w:i/>
          <w:iCs/>
          <w:color w:val="000000" w:themeColor="text1"/>
        </w:rPr>
        <w:t>e,</w:t>
      </w:r>
      <w:r w:rsidRPr="00B433E2">
        <w:rPr>
          <w:rFonts w:ascii="Calibri" w:hAnsi="Calibri" w:cs="Calibri"/>
          <w:i/>
          <w:iCs/>
          <w:color w:val="000000" w:themeColor="text1"/>
        </w:rPr>
        <w:t xml:space="preserve"> we all rely on the support of others to protect us and to help guide our development. We know that healthy investments in our early life helps us to establish trajectories for positive health behaviours and favourable health outcomes.  </w:t>
      </w:r>
    </w:p>
    <w:p w14:paraId="7D53B186" w14:textId="77777777" w:rsidR="00B433E2" w:rsidRPr="00B433E2" w:rsidRDefault="00B433E2" w:rsidP="00B433E2">
      <w:pPr>
        <w:spacing w:line="360" w:lineRule="auto"/>
        <w:jc w:val="both"/>
        <w:rPr>
          <w:rFonts w:ascii="Calibri" w:hAnsi="Calibri" w:cs="Calibri"/>
          <w:i/>
          <w:iCs/>
          <w:color w:val="000000" w:themeColor="text1"/>
        </w:rPr>
      </w:pPr>
      <w:r w:rsidRPr="00B433E2">
        <w:rPr>
          <w:rFonts w:ascii="Calibri" w:hAnsi="Calibri" w:cs="Calibri"/>
          <w:i/>
          <w:iCs/>
          <w:color w:val="000000" w:themeColor="text1"/>
        </w:rPr>
        <w:t>At a population level, we know that investments in child health support leads to better population health outcomes. Importantly, investments in child health support also offers us a prime opportunity to tackle population health inequalities. </w:t>
      </w:r>
    </w:p>
    <w:p w14:paraId="0EA2F099" w14:textId="361D8BEE" w:rsidR="00B433E2" w:rsidRDefault="00B433E2" w:rsidP="00B433E2">
      <w:pPr>
        <w:spacing w:line="360" w:lineRule="auto"/>
        <w:jc w:val="both"/>
        <w:rPr>
          <w:rFonts w:ascii="Calibri" w:hAnsi="Calibri" w:cs="Calibri"/>
          <w:i/>
          <w:iCs/>
          <w:color w:val="000000" w:themeColor="text1"/>
        </w:rPr>
      </w:pPr>
      <w:r w:rsidRPr="00B433E2">
        <w:rPr>
          <w:rFonts w:ascii="Calibri" w:hAnsi="Calibri" w:cs="Calibri"/>
          <w:i/>
          <w:iCs/>
          <w:color w:val="000000" w:themeColor="text1"/>
        </w:rPr>
        <w:t xml:space="preserve">This information has never been more important than now.  The COVID-19 pandemic has had a huge impact upon our next generation, especially upon some of our most vulnerable children in society. And </w:t>
      </w:r>
      <w:r w:rsidRPr="00B433E2">
        <w:rPr>
          <w:rFonts w:ascii="Calibri" w:hAnsi="Calibri" w:cs="Calibri"/>
          <w:i/>
          <w:iCs/>
          <w:color w:val="000000" w:themeColor="text1"/>
        </w:rPr>
        <w:lastRenderedPageBreak/>
        <w:t>all of this occurred at a time when a substantial proportion of the paediatric workforce was redeployed.   </w:t>
      </w:r>
    </w:p>
    <w:p w14:paraId="5393385A" w14:textId="0A523409" w:rsidR="00B433E2" w:rsidRPr="00B433E2" w:rsidRDefault="00B433E2" w:rsidP="00B433E2">
      <w:pPr>
        <w:spacing w:line="360" w:lineRule="auto"/>
        <w:jc w:val="both"/>
        <w:rPr>
          <w:rFonts w:ascii="Calibri" w:hAnsi="Calibri" w:cs="Calibri"/>
          <w:i/>
          <w:iCs/>
          <w:color w:val="000000" w:themeColor="text1"/>
        </w:rPr>
      </w:pPr>
      <w:r w:rsidRPr="00B433E2">
        <w:rPr>
          <w:rFonts w:ascii="Calibri" w:hAnsi="Calibri" w:cs="Calibri"/>
          <w:i/>
          <w:iCs/>
          <w:color w:val="000000" w:themeColor="text1"/>
        </w:rPr>
        <w:t>Yet, we have a strong and growing paediatric physiotherapy workforce who are dedicated to protecting and supporting our next generation.  </w:t>
      </w:r>
    </w:p>
    <w:p w14:paraId="737C8E67" w14:textId="75CF7BF7" w:rsidR="00B433E2" w:rsidRPr="00B433E2" w:rsidRDefault="00B433E2" w:rsidP="00B433E2">
      <w:pPr>
        <w:spacing w:line="360" w:lineRule="auto"/>
        <w:jc w:val="both"/>
        <w:rPr>
          <w:rFonts w:ascii="Calibri" w:hAnsi="Calibri" w:cs="Calibri"/>
          <w:i/>
          <w:iCs/>
          <w:color w:val="000000" w:themeColor="text1"/>
        </w:rPr>
      </w:pPr>
      <w:r w:rsidRPr="00B433E2">
        <w:rPr>
          <w:rFonts w:ascii="Calibri" w:hAnsi="Calibri" w:cs="Calibri"/>
          <w:i/>
          <w:iCs/>
          <w:color w:val="000000" w:themeColor="text1"/>
        </w:rPr>
        <w:t>Over the past few years, with t</w:t>
      </w:r>
      <w:r>
        <w:rPr>
          <w:rFonts w:ascii="Calibri" w:hAnsi="Calibri" w:cs="Calibri"/>
          <w:i/>
          <w:iCs/>
          <w:color w:val="000000" w:themeColor="text1"/>
        </w:rPr>
        <w:t>hanks to</w:t>
      </w:r>
      <w:r w:rsidRPr="00B433E2">
        <w:rPr>
          <w:rFonts w:ascii="Calibri" w:hAnsi="Calibri" w:cs="Calibri"/>
          <w:i/>
          <w:iCs/>
          <w:color w:val="000000" w:themeColor="text1"/>
        </w:rPr>
        <w:t xml:space="preserve"> professional network funding from the CSP, the APCP have undertaken an early </w:t>
      </w:r>
      <w:proofErr w:type="gramStart"/>
      <w:r w:rsidRPr="00B433E2">
        <w:rPr>
          <w:rFonts w:ascii="Calibri" w:hAnsi="Calibri" w:cs="Calibri"/>
          <w:i/>
          <w:iCs/>
          <w:color w:val="000000" w:themeColor="text1"/>
        </w:rPr>
        <w:t>years</w:t>
      </w:r>
      <w:proofErr w:type="gramEnd"/>
      <w:r w:rsidRPr="00B433E2">
        <w:rPr>
          <w:rFonts w:ascii="Calibri" w:hAnsi="Calibri" w:cs="Calibri"/>
          <w:i/>
          <w:iCs/>
          <w:color w:val="000000" w:themeColor="text1"/>
        </w:rPr>
        <w:t xml:space="preserve"> movement project called Starting2Move – which primary focus is supporting movement for all within the first two years of life. </w:t>
      </w:r>
    </w:p>
    <w:p w14:paraId="41522DF9" w14:textId="3486A980" w:rsidR="00B433E2" w:rsidRPr="00B433E2" w:rsidRDefault="00B433E2" w:rsidP="00B433E2">
      <w:pPr>
        <w:spacing w:line="360" w:lineRule="auto"/>
        <w:jc w:val="both"/>
        <w:rPr>
          <w:rFonts w:ascii="Calibri" w:hAnsi="Calibri" w:cs="Calibri"/>
          <w:i/>
          <w:iCs/>
          <w:color w:val="000000" w:themeColor="text1"/>
        </w:rPr>
      </w:pPr>
      <w:r w:rsidRPr="00B433E2">
        <w:rPr>
          <w:rFonts w:ascii="Calibri" w:hAnsi="Calibri" w:cs="Calibri"/>
          <w:i/>
          <w:iCs/>
          <w:color w:val="000000" w:themeColor="text1"/>
        </w:rPr>
        <w:t xml:space="preserve">However, to move forwards, and to actively represent the breadth of the paediatric population that we serve the paediatric physiotherapy workforce need further representation, </w:t>
      </w:r>
      <w:proofErr w:type="gramStart"/>
      <w:r w:rsidRPr="00B433E2">
        <w:rPr>
          <w:rFonts w:ascii="Calibri" w:hAnsi="Calibri" w:cs="Calibri"/>
          <w:i/>
          <w:iCs/>
          <w:color w:val="000000" w:themeColor="text1"/>
        </w:rPr>
        <w:t>resources</w:t>
      </w:r>
      <w:proofErr w:type="gramEnd"/>
      <w:r w:rsidRPr="00B433E2">
        <w:rPr>
          <w:rFonts w:ascii="Calibri" w:hAnsi="Calibri" w:cs="Calibri"/>
          <w:i/>
          <w:iCs/>
          <w:color w:val="000000" w:themeColor="text1"/>
        </w:rPr>
        <w:t xml:space="preserve"> and leadership from the CSP.  </w:t>
      </w:r>
    </w:p>
    <w:p w14:paraId="08BA865F" w14:textId="77D8CC5D" w:rsidR="00B433E2" w:rsidRDefault="00B433E2" w:rsidP="00B433E2">
      <w:pPr>
        <w:spacing w:line="360" w:lineRule="auto"/>
        <w:jc w:val="both"/>
        <w:rPr>
          <w:rFonts w:ascii="Calibri" w:hAnsi="Calibri" w:cs="Calibri"/>
          <w:i/>
          <w:iCs/>
          <w:color w:val="000000" w:themeColor="text1"/>
        </w:rPr>
      </w:pPr>
      <w:r w:rsidRPr="00B433E2">
        <w:rPr>
          <w:rFonts w:ascii="Calibri" w:hAnsi="Calibri" w:cs="Calibri"/>
          <w:i/>
          <w:iCs/>
          <w:color w:val="000000" w:themeColor="text1"/>
        </w:rPr>
        <w:t>We urge the CSP to lead a paediatric specific campaign that shares the contribution of paediatric physiotherapy with our diverse stakeholders from across the health, social and education sectors. Through this campaign, the CSP will be contributing to improving population health outcomes and reducing health inequalities – from the very beginning of life</w:t>
      </w:r>
      <w:r>
        <w:rPr>
          <w:rFonts w:ascii="Calibri" w:hAnsi="Calibri" w:cs="Calibri"/>
          <w:i/>
          <w:iCs/>
          <w:color w:val="000000" w:themeColor="text1"/>
        </w:rPr>
        <w:t>”</w:t>
      </w:r>
    </w:p>
    <w:p w14:paraId="0BBA5F54" w14:textId="55E959B3" w:rsidR="00B433E2" w:rsidRDefault="00B433E2" w:rsidP="00B433E2">
      <w:pPr>
        <w:spacing w:line="360" w:lineRule="auto"/>
        <w:jc w:val="both"/>
        <w:rPr>
          <w:rFonts w:ascii="Calibri" w:hAnsi="Calibri" w:cs="Calibri"/>
          <w:i/>
          <w:iCs/>
          <w:color w:val="000000" w:themeColor="text1"/>
        </w:rPr>
      </w:pPr>
      <w:r w:rsidRPr="00B433E2">
        <w:rPr>
          <w:rFonts w:ascii="Calibri" w:hAnsi="Calibri" w:cs="Calibri"/>
          <w:i/>
          <w:iCs/>
          <w:color w:val="000000" w:themeColor="text1"/>
        </w:rPr>
        <w:t xml:space="preserve">Please help us, help these children. </w:t>
      </w:r>
    </w:p>
    <w:p w14:paraId="0CF96639" w14:textId="077E6EA2" w:rsidR="00B433E2" w:rsidRDefault="00B433E2" w:rsidP="00B433E2">
      <w:pPr>
        <w:spacing w:line="360" w:lineRule="auto"/>
        <w:jc w:val="both"/>
        <w:rPr>
          <w:rFonts w:ascii="Calibri" w:hAnsi="Calibri" w:cs="Calibri"/>
          <w:i/>
          <w:iCs/>
          <w:color w:val="000000" w:themeColor="text1"/>
        </w:rPr>
      </w:pPr>
      <w:r w:rsidRPr="00B433E2">
        <w:rPr>
          <w:rFonts w:ascii="Calibri" w:hAnsi="Calibri" w:cs="Calibri"/>
          <w:i/>
          <w:iCs/>
          <w:color w:val="000000" w:themeColor="text1"/>
        </w:rPr>
        <w:t>Thank you</w:t>
      </w:r>
      <w:r>
        <w:rPr>
          <w:rFonts w:ascii="Calibri" w:hAnsi="Calibri" w:cs="Calibri"/>
          <w:i/>
          <w:iCs/>
          <w:color w:val="000000" w:themeColor="text1"/>
        </w:rPr>
        <w:t>.”</w:t>
      </w:r>
      <w:r w:rsidRPr="00B433E2">
        <w:rPr>
          <w:rFonts w:ascii="Calibri" w:hAnsi="Calibri" w:cs="Calibri"/>
          <w:i/>
          <w:iCs/>
          <w:color w:val="000000" w:themeColor="text1"/>
        </w:rPr>
        <w:t xml:space="preserve"> </w:t>
      </w:r>
    </w:p>
    <w:p w14:paraId="7AE4F2C4" w14:textId="6D3CE242" w:rsidR="00B433E2" w:rsidRDefault="00B433E2" w:rsidP="00B433E2">
      <w:pPr>
        <w:spacing w:line="360" w:lineRule="auto"/>
        <w:jc w:val="both"/>
        <w:rPr>
          <w:rFonts w:ascii="Calibri" w:hAnsi="Calibri" w:cs="Calibri"/>
          <w:color w:val="000000" w:themeColor="text1"/>
        </w:rPr>
      </w:pPr>
      <w:r w:rsidRPr="00D31E84">
        <w:rPr>
          <w:noProof/>
        </w:rPr>
        <w:drawing>
          <wp:anchor distT="0" distB="0" distL="114300" distR="114300" simplePos="0" relativeHeight="251666432" behindDoc="0" locked="0" layoutInCell="1" allowOverlap="1" wp14:anchorId="4E34580A" wp14:editId="20B31925">
            <wp:simplePos x="0" y="0"/>
            <wp:positionH relativeFrom="page">
              <wp:posOffset>4378205</wp:posOffset>
            </wp:positionH>
            <wp:positionV relativeFrom="paragraph">
              <wp:posOffset>944553</wp:posOffset>
            </wp:positionV>
            <wp:extent cx="2955290" cy="2838450"/>
            <wp:effectExtent l="0" t="0" r="0" b="0"/>
            <wp:wrapSquare wrapText="bothSides"/>
            <wp:docPr id="11266" name="Picture 2" descr="Image preview">
              <a:extLst xmlns:a="http://schemas.openxmlformats.org/drawingml/2006/main">
                <a:ext uri="{FF2B5EF4-FFF2-40B4-BE49-F238E27FC236}">
                  <a16:creationId xmlns:a16="http://schemas.microsoft.com/office/drawing/2014/main" id="{BBE90FD8-6C73-CF75-0DD9-5F5BD65C7B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Image preview">
                      <a:extLst>
                        <a:ext uri="{FF2B5EF4-FFF2-40B4-BE49-F238E27FC236}">
                          <a16:creationId xmlns:a16="http://schemas.microsoft.com/office/drawing/2014/main" id="{BBE90FD8-6C73-CF75-0DD9-5F5BD65C7BFC}"/>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5290" cy="2838450"/>
                    </a:xfrm>
                    <a:prstGeom prst="rect">
                      <a:avLst/>
                    </a:prstGeom>
                    <a:noFill/>
                  </pic:spPr>
                </pic:pic>
              </a:graphicData>
            </a:graphic>
            <wp14:sizeRelH relativeFrom="page">
              <wp14:pctWidth>0</wp14:pctWidth>
            </wp14:sizeRelH>
            <wp14:sizeRelV relativeFrom="page">
              <wp14:pctHeight>0</wp14:pctHeight>
            </wp14:sizeRelV>
          </wp:anchor>
        </w:drawing>
      </w:r>
      <w:r w:rsidRPr="00B433E2">
        <w:rPr>
          <w:rFonts w:ascii="Calibri" w:hAnsi="Calibri" w:cs="Calibri"/>
          <w:i/>
          <w:iCs/>
          <w:color w:val="000000" w:themeColor="text1"/>
        </w:rPr>
        <w:t>Moving Towards a Fairer Future</w:t>
      </w:r>
      <w:r>
        <w:rPr>
          <w:rFonts w:ascii="Calibri" w:hAnsi="Calibri" w:cs="Calibri"/>
          <w:color w:val="000000" w:themeColor="text1"/>
        </w:rPr>
        <w:t xml:space="preserve"> is our vision for how we will move on from the foundations that the Starting2Move project has provided.  </w:t>
      </w:r>
      <w:r>
        <w:rPr>
          <w:rFonts w:ascii="Calibri" w:hAnsi="Calibri" w:cs="Calibri"/>
          <w:color w:val="000000" w:themeColor="text1"/>
        </w:rPr>
        <w:t>A</w:t>
      </w:r>
      <w:r w:rsidRPr="001A2E2D">
        <w:rPr>
          <w:rFonts w:ascii="Calibri" w:hAnsi="Calibri" w:cs="Calibri"/>
          <w:color w:val="000000" w:themeColor="text1"/>
        </w:rPr>
        <w:t xml:space="preserve"> ‘fairer</w:t>
      </w:r>
      <w:r>
        <w:rPr>
          <w:rFonts w:ascii="Calibri" w:hAnsi="Calibri" w:cs="Calibri"/>
          <w:color w:val="000000" w:themeColor="text1"/>
        </w:rPr>
        <w:t>’</w:t>
      </w:r>
      <w:r w:rsidRPr="001A2E2D">
        <w:rPr>
          <w:rFonts w:ascii="Calibri" w:hAnsi="Calibri" w:cs="Calibri"/>
          <w:color w:val="000000" w:themeColor="text1"/>
        </w:rPr>
        <w:t xml:space="preserve"> future is used here to encompass both equality and desirability</w:t>
      </w:r>
      <w:r>
        <w:rPr>
          <w:rFonts w:ascii="Calibri" w:hAnsi="Calibri" w:cs="Calibri"/>
          <w:color w:val="000000" w:themeColor="text1"/>
        </w:rPr>
        <w:t xml:space="preserve">, </w:t>
      </w:r>
      <w:r w:rsidRPr="001A2E2D">
        <w:rPr>
          <w:rFonts w:ascii="Calibri" w:hAnsi="Calibri" w:cs="Calibri"/>
          <w:color w:val="000000" w:themeColor="text1"/>
        </w:rPr>
        <w:t xml:space="preserve">with the ambition to reduce </w:t>
      </w:r>
      <w:r>
        <w:rPr>
          <w:rFonts w:ascii="Calibri" w:hAnsi="Calibri" w:cs="Calibri"/>
          <w:color w:val="000000" w:themeColor="text1"/>
        </w:rPr>
        <w:t xml:space="preserve">avoidable </w:t>
      </w:r>
      <w:r w:rsidRPr="001A2E2D">
        <w:rPr>
          <w:rFonts w:ascii="Calibri" w:hAnsi="Calibri" w:cs="Calibri"/>
          <w:color w:val="000000" w:themeColor="text1"/>
        </w:rPr>
        <w:t>health inequit</w:t>
      </w:r>
      <w:r>
        <w:rPr>
          <w:rFonts w:ascii="Calibri" w:hAnsi="Calibri" w:cs="Calibri"/>
          <w:color w:val="000000" w:themeColor="text1"/>
        </w:rPr>
        <w:t>ies</w:t>
      </w:r>
      <w:r w:rsidRPr="001A2E2D">
        <w:rPr>
          <w:rFonts w:ascii="Calibri" w:hAnsi="Calibri" w:cs="Calibri"/>
          <w:color w:val="000000" w:themeColor="text1"/>
        </w:rPr>
        <w:t xml:space="preserve"> and</w:t>
      </w:r>
      <w:r>
        <w:rPr>
          <w:rFonts w:ascii="Calibri" w:hAnsi="Calibri" w:cs="Calibri"/>
          <w:color w:val="000000" w:themeColor="text1"/>
        </w:rPr>
        <w:t xml:space="preserve"> to</w:t>
      </w:r>
      <w:r w:rsidRPr="001A2E2D">
        <w:rPr>
          <w:rFonts w:ascii="Calibri" w:hAnsi="Calibri" w:cs="Calibri"/>
          <w:color w:val="000000" w:themeColor="text1"/>
        </w:rPr>
        <w:t xml:space="preserve"> promote desirable health outcomes</w:t>
      </w:r>
      <w:r>
        <w:rPr>
          <w:rFonts w:ascii="Calibri" w:hAnsi="Calibri" w:cs="Calibri"/>
          <w:color w:val="000000" w:themeColor="text1"/>
        </w:rPr>
        <w:t xml:space="preserve"> for all. </w:t>
      </w:r>
      <w:r w:rsidRPr="001A2E2D">
        <w:rPr>
          <w:rFonts w:ascii="Calibri" w:hAnsi="Calibri" w:cs="Calibri"/>
          <w:color w:val="000000" w:themeColor="text1"/>
        </w:rPr>
        <w:t xml:space="preserve">  </w:t>
      </w:r>
    </w:p>
    <w:p w14:paraId="0760A53E" w14:textId="35EF7B7E" w:rsidR="00B433E2" w:rsidRDefault="00B433E2" w:rsidP="00B433E2">
      <w:pPr>
        <w:spacing w:line="360" w:lineRule="auto"/>
        <w:jc w:val="both"/>
        <w:rPr>
          <w:rFonts w:ascii="Calibri" w:hAnsi="Calibri" w:cs="Calibri"/>
          <w:color w:val="000000" w:themeColor="text1"/>
        </w:rPr>
      </w:pPr>
      <w:r>
        <w:rPr>
          <w:rFonts w:ascii="Calibri" w:hAnsi="Calibri" w:cs="Calibri"/>
          <w:color w:val="000000" w:themeColor="text1"/>
        </w:rPr>
        <w:t xml:space="preserve">However, this project is not yet funded. </w:t>
      </w:r>
      <w:r>
        <w:rPr>
          <w:rFonts w:ascii="Calibri" w:hAnsi="Calibri" w:cs="Calibri"/>
          <w:color w:val="000000" w:themeColor="text1"/>
        </w:rPr>
        <w:t xml:space="preserve">To continue to act upon our ideas to </w:t>
      </w:r>
      <w:r>
        <w:rPr>
          <w:rFonts w:ascii="Calibri" w:hAnsi="Calibri" w:cs="Calibri"/>
          <w:color w:val="000000" w:themeColor="text1"/>
        </w:rPr>
        <w:t>advance</w:t>
      </w:r>
      <w:r>
        <w:rPr>
          <w:rFonts w:ascii="Calibri" w:hAnsi="Calibri" w:cs="Calibri"/>
          <w:color w:val="000000" w:themeColor="text1"/>
        </w:rPr>
        <w:t xml:space="preserve"> movement support</w:t>
      </w:r>
      <w:r>
        <w:rPr>
          <w:rFonts w:ascii="Calibri" w:hAnsi="Calibri" w:cs="Calibri"/>
          <w:color w:val="000000" w:themeColor="text1"/>
        </w:rPr>
        <w:t xml:space="preserve"> for </w:t>
      </w:r>
      <w:proofErr w:type="gramStart"/>
      <w:r>
        <w:rPr>
          <w:rFonts w:ascii="Calibri" w:hAnsi="Calibri" w:cs="Calibri"/>
          <w:color w:val="000000" w:themeColor="text1"/>
        </w:rPr>
        <w:t>all of</w:t>
      </w:r>
      <w:proofErr w:type="gramEnd"/>
      <w:r>
        <w:rPr>
          <w:rFonts w:ascii="Calibri" w:hAnsi="Calibri" w:cs="Calibri"/>
          <w:color w:val="000000" w:themeColor="text1"/>
        </w:rPr>
        <w:t xml:space="preserve"> the paediatric population we serve, </w:t>
      </w:r>
      <w:r>
        <w:rPr>
          <w:rFonts w:ascii="Calibri" w:hAnsi="Calibri" w:cs="Calibri"/>
          <w:color w:val="000000" w:themeColor="text1"/>
        </w:rPr>
        <w:t xml:space="preserve">we need to secure more resources and partnerships.  </w:t>
      </w:r>
      <w:r>
        <w:rPr>
          <w:rFonts w:ascii="Calibri" w:hAnsi="Calibri" w:cs="Calibri"/>
          <w:color w:val="000000" w:themeColor="text1"/>
        </w:rPr>
        <w:t>If you have resources to share, or would like to partner with us in our efforts, please do get in touch via office@apcp.org.uk</w:t>
      </w:r>
      <w:r w:rsidRPr="00B433E2">
        <w:rPr>
          <w:noProof/>
        </w:rPr>
        <w:t xml:space="preserve"> </w:t>
      </w:r>
    </w:p>
    <w:p w14:paraId="3F3A6B21" w14:textId="77777777" w:rsidR="00B433E2" w:rsidRDefault="00B433E2" w:rsidP="00B433E2">
      <w:pPr>
        <w:spacing w:line="360" w:lineRule="auto"/>
        <w:jc w:val="both"/>
        <w:rPr>
          <w:rFonts w:ascii="Calibri" w:hAnsi="Calibri" w:cs="Calibri"/>
          <w:color w:val="000000" w:themeColor="text1"/>
        </w:rPr>
      </w:pPr>
      <w:r>
        <w:rPr>
          <w:rFonts w:ascii="Calibri" w:hAnsi="Calibri" w:cs="Calibri"/>
          <w:color w:val="000000" w:themeColor="text1"/>
        </w:rPr>
        <w:t>Thank you,</w:t>
      </w:r>
    </w:p>
    <w:p w14:paraId="70431F25" w14:textId="3F2C94E0" w:rsidR="00B433E2" w:rsidRDefault="00B433E2" w:rsidP="00B433E2">
      <w:pPr>
        <w:spacing w:line="360" w:lineRule="auto"/>
        <w:jc w:val="both"/>
        <w:rPr>
          <w:rFonts w:ascii="Calibri" w:hAnsi="Calibri" w:cs="Calibri"/>
          <w:color w:val="000000" w:themeColor="text1"/>
        </w:rPr>
      </w:pPr>
      <w:r>
        <w:rPr>
          <w:rFonts w:ascii="Calibri" w:hAnsi="Calibri" w:cs="Calibri"/>
          <w:color w:val="000000" w:themeColor="text1"/>
        </w:rPr>
        <w:t>Jemma Bell</w:t>
      </w:r>
    </w:p>
    <w:p w14:paraId="2DF9B6FD" w14:textId="77777777" w:rsidR="00B433E2" w:rsidRDefault="00B433E2" w:rsidP="00B433E2">
      <w:pPr>
        <w:spacing w:line="360" w:lineRule="auto"/>
        <w:jc w:val="both"/>
        <w:rPr>
          <w:rFonts w:ascii="Calibri" w:hAnsi="Calibri" w:cs="Calibri"/>
          <w:color w:val="000000" w:themeColor="text1"/>
        </w:rPr>
      </w:pPr>
      <w:r>
        <w:rPr>
          <w:rFonts w:ascii="Calibri" w:hAnsi="Calibri" w:cs="Calibri"/>
          <w:color w:val="000000" w:themeColor="text1"/>
        </w:rPr>
        <w:t>APCP Public Relations Officer</w:t>
      </w:r>
    </w:p>
    <w:p w14:paraId="352A1BAE" w14:textId="6AFB8278" w:rsidR="00B433E2" w:rsidRPr="00B433E2" w:rsidRDefault="00B433E2" w:rsidP="00B433E2">
      <w:pPr>
        <w:spacing w:line="360" w:lineRule="auto"/>
        <w:jc w:val="both"/>
        <w:rPr>
          <w:rFonts w:ascii="Calibri" w:hAnsi="Calibri" w:cs="Calibri"/>
          <w:color w:val="000000" w:themeColor="text1"/>
        </w:rPr>
      </w:pPr>
      <w:r>
        <w:rPr>
          <w:rFonts w:ascii="Calibri" w:hAnsi="Calibri" w:cs="Calibri"/>
          <w:color w:val="000000" w:themeColor="text1"/>
        </w:rPr>
        <w:t>January 2023</w:t>
      </w:r>
    </w:p>
    <w:sectPr w:rsidR="00B433E2" w:rsidRPr="00B43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72"/>
    <w:rsid w:val="004F1B72"/>
    <w:rsid w:val="007907C1"/>
    <w:rsid w:val="00B222E0"/>
    <w:rsid w:val="00B43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865B"/>
  <w15:chartTrackingRefBased/>
  <w15:docId w15:val="{9D687798-19C3-44BE-ADA8-A3287946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5849">
      <w:bodyDiv w:val="1"/>
      <w:marLeft w:val="0"/>
      <w:marRight w:val="0"/>
      <w:marTop w:val="0"/>
      <w:marBottom w:val="0"/>
      <w:divBdr>
        <w:top w:val="none" w:sz="0" w:space="0" w:color="auto"/>
        <w:left w:val="none" w:sz="0" w:space="0" w:color="auto"/>
        <w:bottom w:val="none" w:sz="0" w:space="0" w:color="auto"/>
        <w:right w:val="none" w:sz="0" w:space="0" w:color="auto"/>
      </w:divBdr>
    </w:div>
    <w:div w:id="697436443">
      <w:bodyDiv w:val="1"/>
      <w:marLeft w:val="0"/>
      <w:marRight w:val="0"/>
      <w:marTop w:val="0"/>
      <w:marBottom w:val="0"/>
      <w:divBdr>
        <w:top w:val="none" w:sz="0" w:space="0" w:color="auto"/>
        <w:left w:val="none" w:sz="0" w:space="0" w:color="auto"/>
        <w:bottom w:val="none" w:sz="0" w:space="0" w:color="auto"/>
        <w:right w:val="none" w:sz="0" w:space="0" w:color="auto"/>
      </w:divBdr>
    </w:div>
    <w:div w:id="20876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Company>Newcastle Upon Tyne Hospital Trust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Jemma (THE NEWCASTLE UPON TYNE HOSPITALS NHS FOUNDATION TRUST)</dc:creator>
  <cp:keywords/>
  <dc:description/>
  <cp:lastModifiedBy>BELL, Jemma (THE NEWCASTLE UPON TYNE HOSPITALS NHS FOUNDATION TRUST)</cp:lastModifiedBy>
  <cp:revision>2</cp:revision>
  <dcterms:created xsi:type="dcterms:W3CDTF">2023-02-18T18:23:00Z</dcterms:created>
  <dcterms:modified xsi:type="dcterms:W3CDTF">2023-02-18T18:23:00Z</dcterms:modified>
</cp:coreProperties>
</file>